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2453A" w14:textId="49DC98EB" w:rsidR="0006710F" w:rsidRDefault="00207A99" w:rsidP="00DC4463">
      <w:pPr>
        <w:jc w:val="center"/>
        <w:rPr>
          <w:rFonts w:asciiTheme="minorBidi" w:hAnsiTheme="minorBidi"/>
          <w:b/>
          <w:bCs/>
          <w:sz w:val="28"/>
          <w:szCs w:val="28"/>
        </w:rPr>
      </w:pPr>
      <w:r w:rsidRPr="00207A99">
        <w:rPr>
          <w:rFonts w:asciiTheme="minorBidi" w:hAnsiTheme="minorBidi"/>
          <w:b/>
          <w:bCs/>
          <w:sz w:val="28"/>
          <w:szCs w:val="28"/>
        </w:rPr>
        <w:t>Developing characterization strategies for photocatalytic oxynitrides</w:t>
      </w:r>
      <w:r w:rsidR="0006710F" w:rsidRPr="0006710F">
        <w:rPr>
          <w:rFonts w:asciiTheme="minorBidi" w:hAnsiTheme="minorBidi"/>
          <w:b/>
          <w:bCs/>
          <w:sz w:val="28"/>
          <w:szCs w:val="28"/>
        </w:rPr>
        <w:t xml:space="preserve">: </w:t>
      </w:r>
      <w:r>
        <w:rPr>
          <w:rFonts w:asciiTheme="minorBidi" w:hAnsiTheme="minorBidi"/>
          <w:b/>
          <w:bCs/>
          <w:sz w:val="28"/>
          <w:szCs w:val="28"/>
        </w:rPr>
        <w:t xml:space="preserve">    </w:t>
      </w:r>
      <w:r w:rsidR="0006710F" w:rsidRPr="0006710F">
        <w:rPr>
          <w:rFonts w:asciiTheme="minorBidi" w:hAnsiTheme="minorBidi"/>
          <w:b/>
          <w:bCs/>
          <w:sz w:val="28"/>
          <w:szCs w:val="28"/>
        </w:rPr>
        <w:t xml:space="preserve">a </w:t>
      </w:r>
      <w:proofErr w:type="spellStart"/>
      <w:r w:rsidR="0006710F" w:rsidRPr="0006710F">
        <w:rPr>
          <w:rFonts w:asciiTheme="minorBidi" w:hAnsiTheme="minorBidi"/>
          <w:b/>
          <w:bCs/>
          <w:sz w:val="28"/>
          <w:szCs w:val="28"/>
        </w:rPr>
        <w:t>SrTaO</w:t>
      </w:r>
      <w:r w:rsidR="0006710F" w:rsidRPr="0006710F">
        <w:rPr>
          <w:rFonts w:asciiTheme="minorBidi" w:hAnsiTheme="minorBidi"/>
          <w:b/>
          <w:bCs/>
          <w:sz w:val="28"/>
          <w:szCs w:val="28"/>
          <w:vertAlign w:val="subscript"/>
        </w:rPr>
        <w:t>x</w:t>
      </w:r>
      <w:r w:rsidR="0006710F" w:rsidRPr="0006710F">
        <w:rPr>
          <w:rFonts w:asciiTheme="minorBidi" w:hAnsiTheme="minorBidi"/>
          <w:b/>
          <w:bCs/>
          <w:sz w:val="28"/>
          <w:szCs w:val="28"/>
        </w:rPr>
        <w:t>N</w:t>
      </w:r>
      <w:r w:rsidR="0006710F" w:rsidRPr="0006710F">
        <w:rPr>
          <w:rFonts w:asciiTheme="minorBidi" w:hAnsiTheme="minorBidi"/>
          <w:b/>
          <w:bCs/>
          <w:sz w:val="28"/>
          <w:szCs w:val="28"/>
          <w:vertAlign w:val="subscript"/>
        </w:rPr>
        <w:t>y</w:t>
      </w:r>
      <w:proofErr w:type="spellEnd"/>
      <w:r w:rsidR="0006710F" w:rsidRPr="0006710F">
        <w:rPr>
          <w:rFonts w:asciiTheme="minorBidi" w:hAnsiTheme="minorBidi"/>
          <w:b/>
          <w:bCs/>
          <w:sz w:val="28"/>
          <w:szCs w:val="28"/>
        </w:rPr>
        <w:t xml:space="preserve"> case study</w:t>
      </w:r>
    </w:p>
    <w:p w14:paraId="73A76D3A" w14:textId="7B973AA8" w:rsidR="003002BC" w:rsidRPr="0006710F" w:rsidRDefault="00DC4463" w:rsidP="00DC4463">
      <w:pPr>
        <w:jc w:val="center"/>
        <w:rPr>
          <w:rFonts w:ascii="Arial" w:hAnsi="Arial" w:cs="Arial"/>
          <w:lang w:val="de-CH"/>
        </w:rPr>
      </w:pPr>
      <w:r w:rsidRPr="0006710F">
        <w:rPr>
          <w:rFonts w:ascii="Arial" w:hAnsi="Arial" w:cs="Arial"/>
          <w:lang w:val="de-CH"/>
        </w:rPr>
        <w:t xml:space="preserve">Zahra </w:t>
      </w:r>
      <w:proofErr w:type="spellStart"/>
      <w:r w:rsidRPr="0006710F">
        <w:rPr>
          <w:rFonts w:ascii="Arial" w:hAnsi="Arial" w:cs="Arial"/>
          <w:lang w:val="de-CH"/>
        </w:rPr>
        <w:t>Pourmand</w:t>
      </w:r>
      <w:proofErr w:type="spellEnd"/>
      <w:r w:rsidRPr="0006710F">
        <w:rPr>
          <w:rFonts w:ascii="Arial" w:hAnsi="Arial" w:cs="Arial"/>
          <w:lang w:val="de-CH"/>
        </w:rPr>
        <w:t xml:space="preserve"> </w:t>
      </w:r>
      <w:proofErr w:type="gramStart"/>
      <w:r w:rsidRPr="0006710F">
        <w:rPr>
          <w:rFonts w:ascii="Arial" w:hAnsi="Arial" w:cs="Arial"/>
          <w:lang w:val="de-CH"/>
        </w:rPr>
        <w:t>Tehrani,</w:t>
      </w:r>
      <w:r w:rsidR="00C11AD5" w:rsidRPr="0006710F">
        <w:rPr>
          <w:rFonts w:ascii="Arial" w:hAnsi="Arial" w:cs="Arial"/>
          <w:vertAlign w:val="superscript"/>
          <w:lang w:val="de-CH"/>
        </w:rPr>
        <w:t>†</w:t>
      </w:r>
      <w:proofErr w:type="gramEnd"/>
      <w:r w:rsidR="00C11AD5" w:rsidRPr="0006710F">
        <w:rPr>
          <w:rFonts w:ascii="Arial" w:hAnsi="Arial" w:cs="Arial"/>
          <w:vertAlign w:val="superscript"/>
          <w:lang w:val="de-CH"/>
        </w:rPr>
        <w:t>‡</w:t>
      </w:r>
      <w:r w:rsidR="00C11AD5" w:rsidRPr="0006710F">
        <w:rPr>
          <w:rFonts w:ascii="Arial" w:hAnsi="Arial" w:cs="Arial"/>
          <w:lang w:val="de-CH"/>
        </w:rPr>
        <w:t xml:space="preserve"> </w:t>
      </w:r>
      <w:r w:rsidRPr="0006710F">
        <w:rPr>
          <w:rFonts w:ascii="Arial" w:hAnsi="Arial" w:cs="Arial"/>
          <w:lang w:val="de-CH"/>
        </w:rPr>
        <w:t xml:space="preserve">Christof </w:t>
      </w:r>
      <w:r w:rsidR="00F25370" w:rsidRPr="0006710F">
        <w:rPr>
          <w:rFonts w:ascii="Arial" w:hAnsi="Arial" w:cs="Arial"/>
          <w:lang w:val="de-CH"/>
        </w:rPr>
        <w:t xml:space="preserve">W. </w:t>
      </w:r>
      <w:r w:rsidRPr="0006710F">
        <w:rPr>
          <w:rFonts w:ascii="Arial" w:hAnsi="Arial" w:cs="Arial"/>
          <w:lang w:val="de-CH"/>
        </w:rPr>
        <w:t>Schneider</w:t>
      </w:r>
      <w:r w:rsidR="003002BC" w:rsidRPr="0006710F">
        <w:rPr>
          <w:rFonts w:ascii="Arial" w:hAnsi="Arial" w:cs="Arial"/>
          <w:lang w:val="de-CH"/>
        </w:rPr>
        <w:t>,</w:t>
      </w:r>
      <w:r w:rsidR="003002BC" w:rsidRPr="0006710F">
        <w:rPr>
          <w:rFonts w:ascii="Arial" w:hAnsi="Arial" w:cs="Arial"/>
          <w:vertAlign w:val="superscript"/>
          <w:lang w:val="de-CH"/>
        </w:rPr>
        <w:t>‡</w:t>
      </w:r>
      <w:r w:rsidR="003002BC" w:rsidRPr="0006710F">
        <w:rPr>
          <w:rFonts w:ascii="Arial" w:hAnsi="Arial" w:cs="Arial"/>
          <w:lang w:val="de-CH"/>
        </w:rPr>
        <w:t xml:space="preserve"> </w:t>
      </w:r>
      <w:r w:rsidRPr="0006710F">
        <w:rPr>
          <w:rFonts w:ascii="Arial" w:hAnsi="Arial" w:cs="Arial"/>
          <w:lang w:val="de-CH"/>
        </w:rPr>
        <w:t>Daniele Pergolesi</w:t>
      </w:r>
      <w:r w:rsidR="0053149F" w:rsidRPr="0006710F">
        <w:rPr>
          <w:rFonts w:ascii="Arial" w:hAnsi="Arial" w:cs="Arial"/>
          <w:lang w:val="de-CH"/>
        </w:rPr>
        <w:t>,</w:t>
      </w:r>
      <w:r w:rsidR="0053149F" w:rsidRPr="0006710F">
        <w:rPr>
          <w:rFonts w:ascii="Arial" w:hAnsi="Arial" w:cs="Arial"/>
          <w:vertAlign w:val="superscript"/>
          <w:lang w:val="de-CH"/>
        </w:rPr>
        <w:t xml:space="preserve">‡ </w:t>
      </w:r>
      <w:r w:rsidRPr="0006710F">
        <w:rPr>
          <w:rFonts w:ascii="Arial" w:hAnsi="Arial" w:cs="Arial"/>
          <w:lang w:val="de-CH"/>
        </w:rPr>
        <w:t>Thomas Lippert</w:t>
      </w:r>
      <w:r w:rsidRPr="0006710F">
        <w:rPr>
          <w:rFonts w:ascii="Arial" w:hAnsi="Arial" w:cs="Arial"/>
          <w:vertAlign w:val="superscript"/>
          <w:lang w:val="de-CH"/>
        </w:rPr>
        <w:t>†‡</w:t>
      </w:r>
      <w:r w:rsidRPr="0006710F">
        <w:rPr>
          <w:rFonts w:asciiTheme="minorBidi" w:hAnsiTheme="minorBidi"/>
          <w:i/>
          <w:sz w:val="20"/>
          <w:szCs w:val="20"/>
          <w:vertAlign w:val="superscript"/>
          <w:lang w:val="de-CH"/>
        </w:rPr>
        <w:t>§</w:t>
      </w:r>
    </w:p>
    <w:p w14:paraId="79164DA4" w14:textId="77777777" w:rsidR="003002BC" w:rsidRPr="00DC4463" w:rsidRDefault="003002BC" w:rsidP="00940E8A">
      <w:pPr>
        <w:spacing w:after="0"/>
        <w:jc w:val="center"/>
        <w:rPr>
          <w:rFonts w:asciiTheme="minorBidi" w:hAnsiTheme="minorBidi"/>
          <w:i/>
          <w:sz w:val="20"/>
          <w:szCs w:val="20"/>
        </w:rPr>
      </w:pPr>
      <w:r w:rsidRPr="00DC4463">
        <w:rPr>
          <w:rFonts w:asciiTheme="minorBidi" w:hAnsiTheme="minorBidi"/>
          <w:i/>
          <w:sz w:val="20"/>
          <w:szCs w:val="20"/>
          <w:vertAlign w:val="superscript"/>
        </w:rPr>
        <w:t>†</w:t>
      </w:r>
      <w:r w:rsidRPr="00DC4463">
        <w:rPr>
          <w:rFonts w:asciiTheme="minorBidi" w:hAnsiTheme="minorBidi"/>
          <w:i/>
          <w:sz w:val="20"/>
          <w:szCs w:val="20"/>
        </w:rPr>
        <w:t xml:space="preserve">Laboratory of Inorganic Chemistry, Department of Chemistry and Applied Biosciences, ETH Zürich, Vladimir Prelog </w:t>
      </w:r>
      <w:proofErr w:type="spellStart"/>
      <w:r w:rsidRPr="00DC4463">
        <w:rPr>
          <w:rFonts w:asciiTheme="minorBidi" w:hAnsiTheme="minorBidi"/>
          <w:i/>
          <w:sz w:val="20"/>
          <w:szCs w:val="20"/>
        </w:rPr>
        <w:t>Weg</w:t>
      </w:r>
      <w:proofErr w:type="spellEnd"/>
      <w:r w:rsidRPr="00DC4463">
        <w:rPr>
          <w:rFonts w:asciiTheme="minorBidi" w:hAnsiTheme="minorBidi"/>
          <w:i/>
          <w:sz w:val="20"/>
          <w:szCs w:val="20"/>
        </w:rPr>
        <w:t xml:space="preserve"> 1, CH-8093 Zürich, Switzerland</w:t>
      </w:r>
    </w:p>
    <w:p w14:paraId="67AD8B48" w14:textId="77777777" w:rsidR="003002BC" w:rsidRPr="00DC4463" w:rsidRDefault="003002BC" w:rsidP="00DC4463">
      <w:pPr>
        <w:spacing w:after="0"/>
        <w:jc w:val="center"/>
        <w:rPr>
          <w:rFonts w:asciiTheme="minorBidi" w:hAnsiTheme="minorBidi"/>
          <w:i/>
          <w:sz w:val="20"/>
          <w:szCs w:val="20"/>
        </w:rPr>
      </w:pPr>
      <w:r w:rsidRPr="00DC4463">
        <w:rPr>
          <w:rFonts w:asciiTheme="minorBidi" w:hAnsiTheme="minorBidi"/>
          <w:i/>
          <w:sz w:val="20"/>
          <w:szCs w:val="20"/>
          <w:vertAlign w:val="superscript"/>
        </w:rPr>
        <w:t>‡</w:t>
      </w:r>
      <w:r w:rsidR="00DC4463" w:rsidRPr="00DC4463">
        <w:rPr>
          <w:rFonts w:asciiTheme="minorBidi" w:eastAsia="Times New Roman" w:hAnsiTheme="minorBidi"/>
          <w:i/>
          <w:sz w:val="20"/>
          <w:szCs w:val="20"/>
        </w:rPr>
        <w:t xml:space="preserve"> Laboratory for Multiscale Materials Experiments, Paul</w:t>
      </w:r>
      <w:r w:rsidR="00DC4463" w:rsidRPr="00DC4463">
        <w:rPr>
          <w:rStyle w:val="apple-converted-space"/>
          <w:rFonts w:asciiTheme="minorBidi" w:eastAsia="Times New Roman" w:hAnsiTheme="minorBidi"/>
          <w:i/>
          <w:sz w:val="20"/>
          <w:szCs w:val="20"/>
        </w:rPr>
        <w:t> </w:t>
      </w:r>
      <w:r w:rsidR="00DC4463" w:rsidRPr="00DC4463">
        <w:rPr>
          <w:rStyle w:val="spelle"/>
          <w:rFonts w:asciiTheme="minorBidi" w:eastAsia="Times New Roman" w:hAnsiTheme="minorBidi"/>
          <w:i/>
          <w:sz w:val="20"/>
          <w:szCs w:val="20"/>
        </w:rPr>
        <w:t>Scherrer</w:t>
      </w:r>
      <w:r w:rsidR="00DC4463" w:rsidRPr="00DC4463">
        <w:rPr>
          <w:rStyle w:val="apple-converted-space"/>
          <w:rFonts w:asciiTheme="minorBidi" w:eastAsia="Times New Roman" w:hAnsiTheme="minorBidi"/>
          <w:i/>
          <w:sz w:val="20"/>
          <w:szCs w:val="20"/>
        </w:rPr>
        <w:t> </w:t>
      </w:r>
      <w:r w:rsidR="00DC4463" w:rsidRPr="00DC4463">
        <w:rPr>
          <w:rFonts w:asciiTheme="minorBidi" w:eastAsia="Times New Roman" w:hAnsiTheme="minorBidi"/>
          <w:i/>
          <w:sz w:val="20"/>
          <w:szCs w:val="20"/>
        </w:rPr>
        <w:t>Institute, 5232</w:t>
      </w:r>
      <w:r w:rsidR="00DC4463" w:rsidRPr="00DC4463">
        <w:rPr>
          <w:rStyle w:val="apple-converted-space"/>
          <w:rFonts w:asciiTheme="minorBidi" w:eastAsia="Times New Roman" w:hAnsiTheme="minorBidi"/>
          <w:i/>
          <w:sz w:val="20"/>
          <w:szCs w:val="20"/>
        </w:rPr>
        <w:t> </w:t>
      </w:r>
      <w:proofErr w:type="spellStart"/>
      <w:r w:rsidR="00DC4463" w:rsidRPr="00DC4463">
        <w:rPr>
          <w:rStyle w:val="spelle"/>
          <w:rFonts w:asciiTheme="minorBidi" w:eastAsia="Times New Roman" w:hAnsiTheme="minorBidi"/>
          <w:i/>
          <w:sz w:val="20"/>
          <w:szCs w:val="20"/>
        </w:rPr>
        <w:t>Villigen</w:t>
      </w:r>
      <w:proofErr w:type="spellEnd"/>
      <w:r w:rsidR="00DC4463" w:rsidRPr="00DC4463">
        <w:rPr>
          <w:rStyle w:val="apple-converted-space"/>
          <w:rFonts w:asciiTheme="minorBidi" w:eastAsia="Times New Roman" w:hAnsiTheme="minorBidi"/>
          <w:i/>
          <w:sz w:val="20"/>
          <w:szCs w:val="20"/>
        </w:rPr>
        <w:t> </w:t>
      </w:r>
      <w:r w:rsidR="00DC4463" w:rsidRPr="00DC4463">
        <w:rPr>
          <w:rFonts w:asciiTheme="minorBidi" w:eastAsia="Times New Roman" w:hAnsiTheme="minorBidi"/>
          <w:i/>
          <w:sz w:val="20"/>
          <w:szCs w:val="20"/>
        </w:rPr>
        <w:t>PSI, Switzerland</w:t>
      </w:r>
    </w:p>
    <w:p w14:paraId="07C528FE" w14:textId="77777777" w:rsidR="003002BC" w:rsidRPr="00DC4463" w:rsidRDefault="003002BC" w:rsidP="00DC4463">
      <w:pPr>
        <w:jc w:val="center"/>
        <w:rPr>
          <w:rFonts w:asciiTheme="minorBidi" w:hAnsiTheme="minorBidi"/>
          <w:i/>
          <w:sz w:val="20"/>
          <w:szCs w:val="20"/>
        </w:rPr>
      </w:pPr>
      <w:r w:rsidRPr="00DC4463">
        <w:rPr>
          <w:rFonts w:asciiTheme="minorBidi" w:hAnsiTheme="minorBidi"/>
          <w:i/>
          <w:sz w:val="20"/>
          <w:szCs w:val="20"/>
          <w:vertAlign w:val="superscript"/>
        </w:rPr>
        <w:t>§</w:t>
      </w:r>
      <w:r w:rsidR="00DC4463" w:rsidRPr="00DC4463">
        <w:rPr>
          <w:rFonts w:asciiTheme="minorBidi" w:hAnsiTheme="minorBidi"/>
          <w:i/>
          <w:sz w:val="20"/>
          <w:szCs w:val="20"/>
        </w:rPr>
        <w:t xml:space="preserve"> International Institute for Carbon-Neutral Energy Research (I2CNER), Kyushu University, 744 </w:t>
      </w:r>
      <w:proofErr w:type="spellStart"/>
      <w:r w:rsidR="00DC4463" w:rsidRPr="00DC4463">
        <w:rPr>
          <w:rFonts w:asciiTheme="minorBidi" w:hAnsiTheme="minorBidi"/>
          <w:i/>
          <w:sz w:val="20"/>
          <w:szCs w:val="20"/>
        </w:rPr>
        <w:t>Motooka</w:t>
      </w:r>
      <w:proofErr w:type="spellEnd"/>
      <w:r w:rsidR="00DC4463" w:rsidRPr="00DC4463">
        <w:rPr>
          <w:rFonts w:asciiTheme="minorBidi" w:hAnsiTheme="minorBidi"/>
          <w:i/>
          <w:sz w:val="20"/>
          <w:szCs w:val="20"/>
        </w:rPr>
        <w:t xml:space="preserve"> 819-0395 Fukuoka, Japan</w:t>
      </w:r>
    </w:p>
    <w:p w14:paraId="31C257F7" w14:textId="77777777" w:rsidR="00940E8A" w:rsidRDefault="00940E8A" w:rsidP="00940E8A">
      <w:pPr>
        <w:spacing w:after="0"/>
        <w:rPr>
          <w:rFonts w:ascii="Arial" w:hAnsi="Arial" w:cs="Arial"/>
          <w:sz w:val="20"/>
        </w:rPr>
      </w:pPr>
    </w:p>
    <w:p w14:paraId="07B56158" w14:textId="6480D537" w:rsidR="00940E8A" w:rsidRPr="00996C87" w:rsidRDefault="00207A99" w:rsidP="0053149F">
      <w:pPr>
        <w:jc w:val="center"/>
        <w:rPr>
          <w:rFonts w:ascii="Arial" w:hAnsi="Arial" w:cs="Arial"/>
          <w:sz w:val="20"/>
        </w:rPr>
      </w:pPr>
      <w:r>
        <w:rPr>
          <w:rFonts w:ascii="Arial" w:hAnsi="Arial" w:cs="Arial"/>
          <w:noProof/>
          <w:sz w:val="20"/>
          <w:lang w:val="de-CH" w:eastAsia="de-CH"/>
        </w:rPr>
        <w:pict w14:anchorId="3E762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8pt;height:113.35pt">
            <v:imagedata r:id="rId5" o:title="Picture1"/>
          </v:shape>
        </w:pict>
      </w:r>
    </w:p>
    <w:p w14:paraId="546432CD" w14:textId="098DCAEA" w:rsidR="00DC4463" w:rsidRPr="00DC4463" w:rsidRDefault="00DC4463" w:rsidP="007C37DE">
      <w:pPr>
        <w:spacing w:after="0" w:line="240" w:lineRule="auto"/>
        <w:jc w:val="both"/>
        <w:rPr>
          <w:rFonts w:asciiTheme="minorBidi" w:hAnsiTheme="minorBidi"/>
        </w:rPr>
      </w:pPr>
      <w:r w:rsidRPr="00DC4463">
        <w:rPr>
          <w:rFonts w:asciiTheme="minorBidi" w:hAnsiTheme="minorBidi"/>
        </w:rPr>
        <w:t xml:space="preserve">Oxynitrides are a class of semiconductors absorbing light in the visible range (380-700 nm). The size of the bandgap and the energy position of the band edges make oxynitrides promising candidates for visible-light-driven water splitting, with </w:t>
      </w:r>
      <w:r w:rsidRPr="00DC4463">
        <w:rPr>
          <w:rFonts w:asciiTheme="minorBidi" w:hAnsiTheme="minorBidi"/>
          <w:color w:val="000000"/>
        </w:rPr>
        <w:t xml:space="preserve">their performances enhanced by co-catalysts </w:t>
      </w:r>
      <w:r w:rsidRPr="00DC4463">
        <w:rPr>
          <w:rFonts w:asciiTheme="minorBidi" w:hAnsiTheme="minorBidi"/>
          <w:color w:val="000000"/>
        </w:rPr>
        <w:fldChar w:fldCharType="begin" w:fldLock="1"/>
      </w:r>
      <w:r w:rsidRPr="00DC4463">
        <w:rPr>
          <w:rFonts w:asciiTheme="minorBidi" w:hAnsiTheme="minorBidi"/>
          <w:color w:val="000000"/>
        </w:rPr>
        <w:instrText>ADDIN CSL_CITATION {"citationItems":[{"id":"ITEM-1","itemData":{"DOI":"10.1149/2.f07132if","abstract":"W ater splitting using a photocatalyst for direct solar hydrogen production from sunlight and water, has been regarded as an important approach to artificial photosynthesis. 1,2 Solar hydrogen, which is the simplest solar fuel, can then be converted to various energy carriers such as organic hydrides, methanol, methane, and ammonia for transportation and storage. Thus, energy systems based on solar hydrogen can lead to a stable, secure, and ecologically-friendly society. Although solar fuel production using electricity from photovoltaic cells and concentrated solar thermal power is an existing technology, direct synthesis of solar fuels by artificial photosynthesis has more scalability in terms of system cost. To split water into hydrogen and oxygen, 1.23 V of energy is required, corresponding to a 2 electron reaction. An energy of 1.23 V is equivalent to a photon energy of 1000 nm, so that the visible light (400-800 nm in wavelength) that represents half of the solar energy spectrum can be thermodynamically used for water splitting. The challenge is to obtain an efficient photocatalyst that has an absorption edge in longer wavelength and the ability to split water. Highly efficient oxide photocatalysts, such as La-doped NaTaO 3 , and Zn-doped Ga 2 O 3 , have been reported with quantum efficiencies of over 50%. 3-5 However, these oxides only absorb ultraviolet (UV) light with wavelengths shorter than 300 nm. In the solar spectrum at the earth's surface, such short UV light is not present, so that these oxides cannot operate efficiently under solar irradiation. Most oxides have band gaps wider than the UV energy because of the deeper O 2p potential of the valence band. The valence band of nitrides is composed of the shallower N 2p potential, and thus their band gaps are generally narrower than those of oxides. For photocatalytic water splitting, photoexcited electrons in the conduction band reduce water to evolve hydrogen, and photogenerated holes in the valence band oxidize water to evolve oxygen. Therefore, the potential of the conduction band should be shallower than the reversible hydrogen potential and the potential of the valence band should be deeper than the reversible oxygen potential. In this article, the properties of oxynitride and nitride photocatalysts for water splitting are described. Surface modification of semiconductor photocatalyst particles with hydrogen-or oxygen-evolving cocatalysts is an indispensable technique in the study of pho…","author":[{"dropping-particle":"","family":"Kubota","given":"Jun","non-dropping-particle":"","parse-names":false,"suffix":""},{"dropping-particle":"","family":"Domen","given":"Kazunari","non-dropping-particle":"","parse-names":false,"suffix":""}],"container-title":"The Electrochemical Society","id":"ITEM-1","issued":{"date-parts":[["0"]]},"title":"Photocatalytic water splitting using oxynitride and nitride semiconductor powders for production of solar hydrogen","type":"article-journal"},"uris":["http://www.mendeley.com/documents/?uuid=c2c6ba45-f99d-3158-b09e-a6e85c1d4b88"]}],"mendeley":{"formattedCitation":"&lt;sup&gt;1&lt;/sup&gt;","plainTextFormattedCitation":"1","previouslyFormattedCitation":"&lt;sup&gt;1&lt;/sup&gt;"},"properties":{"noteIndex":0},"schema":"https://github.com/citation-style-language/schema/raw/master/csl-citation.json"}</w:instrText>
      </w:r>
      <w:r w:rsidRPr="00DC4463">
        <w:rPr>
          <w:rFonts w:asciiTheme="minorBidi" w:hAnsiTheme="minorBidi"/>
          <w:color w:val="000000"/>
        </w:rPr>
        <w:fldChar w:fldCharType="separate"/>
      </w:r>
      <w:r w:rsidRPr="00DC4463">
        <w:rPr>
          <w:rFonts w:asciiTheme="minorBidi" w:hAnsiTheme="minorBidi"/>
          <w:noProof/>
          <w:color w:val="000000"/>
          <w:vertAlign w:val="superscript"/>
        </w:rPr>
        <w:t>1</w:t>
      </w:r>
      <w:r w:rsidRPr="00DC4463">
        <w:rPr>
          <w:rFonts w:asciiTheme="minorBidi" w:hAnsiTheme="minorBidi"/>
          <w:color w:val="000000"/>
        </w:rPr>
        <w:fldChar w:fldCharType="end"/>
      </w:r>
      <w:r w:rsidRPr="00DC4463">
        <w:rPr>
          <w:rFonts w:asciiTheme="minorBidi" w:hAnsiTheme="minorBidi"/>
          <w:color w:val="000000"/>
        </w:rPr>
        <w:t xml:space="preserve">. </w:t>
      </w:r>
      <w:r w:rsidRPr="00DC4463">
        <w:rPr>
          <w:rFonts w:asciiTheme="minorBidi" w:hAnsiTheme="minorBidi"/>
        </w:rPr>
        <w:t>Probing the physiochemical evolution of a thin film</w:t>
      </w:r>
      <w:r w:rsidR="0006710F">
        <w:rPr>
          <w:rFonts w:asciiTheme="minorBidi" w:hAnsiTheme="minorBidi"/>
        </w:rPr>
        <w:t xml:space="preserve"> ex-situ and</w:t>
      </w:r>
      <w:r w:rsidRPr="00DC4463">
        <w:rPr>
          <w:rFonts w:asciiTheme="minorBidi" w:hAnsiTheme="minorBidi"/>
        </w:rPr>
        <w:t xml:space="preserve"> under operation conditions provides insights into the physical and chemical processes occurring in the material. </w:t>
      </w:r>
    </w:p>
    <w:p w14:paraId="22FDC767" w14:textId="77777777" w:rsidR="00DC4463" w:rsidRPr="00DC4463" w:rsidRDefault="00DC4463" w:rsidP="00DC4463">
      <w:pPr>
        <w:spacing w:after="0" w:line="240" w:lineRule="auto"/>
        <w:jc w:val="both"/>
        <w:rPr>
          <w:rFonts w:asciiTheme="minorBidi" w:hAnsiTheme="minorBidi"/>
        </w:rPr>
      </w:pPr>
    </w:p>
    <w:p w14:paraId="75A11A4B" w14:textId="53F6AFD5" w:rsidR="0006710F" w:rsidRDefault="00DC4463" w:rsidP="006F308C">
      <w:pPr>
        <w:jc w:val="both"/>
        <w:rPr>
          <w:rFonts w:asciiTheme="minorBidi" w:hAnsiTheme="minorBidi"/>
        </w:rPr>
      </w:pPr>
      <w:r w:rsidRPr="00DC4463">
        <w:rPr>
          <w:rFonts w:asciiTheme="minorBidi" w:hAnsiTheme="minorBidi"/>
          <w:iCs/>
          <w:color w:val="000000"/>
        </w:rPr>
        <w:t xml:space="preserve">Thin films possess relatively wide, well-defined and atomically flat surfaces, representing ideal model systems for the investigation of the semiconductor surface. Using this approach, we are </w:t>
      </w:r>
      <w:r w:rsidRPr="00DC4463">
        <w:rPr>
          <w:rFonts w:asciiTheme="minorBidi" w:hAnsiTheme="minorBidi"/>
        </w:rPr>
        <w:t xml:space="preserve">exploring the origin for the enhanced charge extraction </w:t>
      </w:r>
      <w:r w:rsidR="0006710F">
        <w:rPr>
          <w:rFonts w:asciiTheme="minorBidi" w:hAnsiTheme="minorBidi"/>
        </w:rPr>
        <w:t xml:space="preserve">in a model oxynitride system, </w:t>
      </w:r>
      <w:r w:rsidR="0006710F" w:rsidRPr="00DC4463">
        <w:rPr>
          <w:rFonts w:asciiTheme="minorBidi" w:hAnsiTheme="minorBidi"/>
          <w:shd w:val="clear" w:color="auto" w:fill="FFFFFF"/>
        </w:rPr>
        <w:t>SrTaO</w:t>
      </w:r>
      <w:r w:rsidR="0006710F" w:rsidRPr="00DC4463">
        <w:rPr>
          <w:rStyle w:val="Hervorhebung"/>
          <w:rFonts w:asciiTheme="minorBidi" w:hAnsiTheme="minorBidi"/>
          <w:shd w:val="clear" w:color="auto" w:fill="FFFFFF"/>
          <w:vertAlign w:val="subscript"/>
        </w:rPr>
        <w:t>x</w:t>
      </w:r>
      <w:r w:rsidR="0006710F" w:rsidRPr="00DC4463">
        <w:rPr>
          <w:rFonts w:asciiTheme="minorBidi" w:hAnsiTheme="minorBidi"/>
          <w:shd w:val="clear" w:color="auto" w:fill="FFFFFF"/>
        </w:rPr>
        <w:t>N</w:t>
      </w:r>
      <w:r w:rsidR="0006710F" w:rsidRPr="00DC4463">
        <w:rPr>
          <w:rStyle w:val="Hervorhebung"/>
          <w:rFonts w:asciiTheme="minorBidi" w:hAnsiTheme="minorBidi"/>
          <w:shd w:val="clear" w:color="auto" w:fill="FFFFFF"/>
          <w:vertAlign w:val="subscript"/>
        </w:rPr>
        <w:t>y</w:t>
      </w:r>
      <w:r w:rsidR="0006710F">
        <w:rPr>
          <w:rFonts w:asciiTheme="minorBidi" w:hAnsiTheme="minorBidi"/>
        </w:rPr>
        <w:t xml:space="preserve">, </w:t>
      </w:r>
      <w:r w:rsidRPr="00DC4463">
        <w:rPr>
          <w:rFonts w:asciiTheme="minorBidi" w:hAnsiTheme="minorBidi"/>
        </w:rPr>
        <w:t>with nickel-based (NiO</w:t>
      </w:r>
      <w:r w:rsidRPr="00F25370">
        <w:rPr>
          <w:rFonts w:asciiTheme="minorBidi" w:hAnsiTheme="minorBidi"/>
          <w:vertAlign w:val="subscript"/>
        </w:rPr>
        <w:t>x</w:t>
      </w:r>
      <w:r w:rsidRPr="00DC4463">
        <w:rPr>
          <w:rFonts w:asciiTheme="minorBidi" w:hAnsiTheme="minorBidi"/>
        </w:rPr>
        <w:t>) co-catalysts. NiO</w:t>
      </w:r>
      <w:r w:rsidRPr="00F25370">
        <w:rPr>
          <w:rFonts w:asciiTheme="minorBidi" w:hAnsiTheme="minorBidi"/>
          <w:vertAlign w:val="subscript"/>
        </w:rPr>
        <w:t>x</w:t>
      </w:r>
      <w:r w:rsidRPr="00DC4463">
        <w:rPr>
          <w:rFonts w:asciiTheme="minorBidi" w:hAnsiTheme="minorBidi"/>
        </w:rPr>
        <w:t xml:space="preserve"> is among the most efficient metal-free co-catalysts for the oxygen evolution reaction (OER), suppressing the recombination of photo-generated electrons and holes</w:t>
      </w:r>
      <w:r w:rsidRPr="00DC4463">
        <w:rPr>
          <w:rFonts w:asciiTheme="minorBidi" w:hAnsiTheme="minorBidi"/>
          <w:vertAlign w:val="superscript"/>
        </w:rPr>
        <w:t>3</w:t>
      </w:r>
      <w:r w:rsidRPr="00DC4463">
        <w:rPr>
          <w:rFonts w:asciiTheme="minorBidi" w:hAnsiTheme="minorBidi"/>
        </w:rPr>
        <w:t>.</w:t>
      </w:r>
      <w:r w:rsidR="006F308C">
        <w:rPr>
          <w:rFonts w:asciiTheme="minorBidi" w:hAnsiTheme="minorBidi"/>
        </w:rPr>
        <w:t xml:space="preserve"> </w:t>
      </w:r>
      <w:r w:rsidR="00636C43">
        <w:rPr>
          <w:rFonts w:asciiTheme="minorBidi" w:hAnsiTheme="minorBidi"/>
        </w:rPr>
        <w:t>Here, t</w:t>
      </w:r>
      <w:r w:rsidR="006F308C" w:rsidRPr="00DC4463">
        <w:rPr>
          <w:rFonts w:asciiTheme="minorBidi" w:hAnsiTheme="minorBidi"/>
        </w:rPr>
        <w:t xml:space="preserve">he OER is the bottleneck of the overall water splitting process and an improved understanding of OER mechanisms for oxynitride thin films is required. </w:t>
      </w:r>
    </w:p>
    <w:p w14:paraId="7CD78797" w14:textId="5893D879" w:rsidR="00DC4463" w:rsidRPr="0006710F" w:rsidRDefault="0006710F" w:rsidP="006F308C">
      <w:pPr>
        <w:jc w:val="both"/>
        <w:rPr>
          <w:rFonts w:asciiTheme="minorBidi" w:hAnsiTheme="minorBidi"/>
          <w:shd w:val="clear" w:color="auto" w:fill="FFFFFF"/>
        </w:rPr>
      </w:pPr>
      <w:r>
        <w:rPr>
          <w:rFonts w:asciiTheme="minorBidi" w:hAnsiTheme="minorBidi"/>
          <w:shd w:val="clear" w:color="auto" w:fill="FFFFFF"/>
        </w:rPr>
        <w:t xml:space="preserve">Using </w:t>
      </w:r>
      <w:r w:rsidRPr="0006710F">
        <w:rPr>
          <w:rFonts w:asciiTheme="minorBidi" w:hAnsiTheme="minorBidi"/>
          <w:shd w:val="clear" w:color="auto" w:fill="FFFFFF"/>
        </w:rPr>
        <w:t xml:space="preserve">ex-situ characterization techniques such as </w:t>
      </w:r>
      <w:r>
        <w:rPr>
          <w:rFonts w:asciiTheme="minorBidi" w:hAnsiTheme="minorBidi"/>
          <w:shd w:val="clear" w:color="auto" w:fill="FFFFFF"/>
        </w:rPr>
        <w:t>Neutron Reflectometry and Transmission Electron Microscopy, it is possible to identify</w:t>
      </w:r>
      <w:r w:rsidRPr="0006710F">
        <w:rPr>
          <w:rFonts w:asciiTheme="minorBidi" w:hAnsiTheme="minorBidi"/>
          <w:shd w:val="clear" w:color="auto" w:fill="FFFFFF"/>
        </w:rPr>
        <w:t xml:space="preserve"> </w:t>
      </w:r>
      <w:r>
        <w:rPr>
          <w:rFonts w:asciiTheme="minorBidi" w:hAnsiTheme="minorBidi"/>
          <w:shd w:val="clear" w:color="auto" w:fill="FFFFFF"/>
        </w:rPr>
        <w:t xml:space="preserve">material loss and modification in </w:t>
      </w:r>
      <w:r w:rsidRPr="00DC4463">
        <w:rPr>
          <w:rFonts w:asciiTheme="minorBidi" w:hAnsiTheme="minorBidi"/>
          <w:shd w:val="clear" w:color="auto" w:fill="FFFFFF"/>
        </w:rPr>
        <w:t>SrTaO</w:t>
      </w:r>
      <w:r w:rsidRPr="00DC4463">
        <w:rPr>
          <w:rStyle w:val="Hervorhebung"/>
          <w:rFonts w:asciiTheme="minorBidi" w:hAnsiTheme="minorBidi"/>
          <w:shd w:val="clear" w:color="auto" w:fill="FFFFFF"/>
          <w:vertAlign w:val="subscript"/>
        </w:rPr>
        <w:t>x</w:t>
      </w:r>
      <w:r w:rsidRPr="00DC4463">
        <w:rPr>
          <w:rFonts w:asciiTheme="minorBidi" w:hAnsiTheme="minorBidi"/>
          <w:shd w:val="clear" w:color="auto" w:fill="FFFFFF"/>
        </w:rPr>
        <w:t>N</w:t>
      </w:r>
      <w:r w:rsidRPr="00DC4463">
        <w:rPr>
          <w:rStyle w:val="Hervorhebung"/>
          <w:rFonts w:asciiTheme="minorBidi" w:hAnsiTheme="minorBidi"/>
          <w:shd w:val="clear" w:color="auto" w:fill="FFFFFF"/>
          <w:vertAlign w:val="subscript"/>
        </w:rPr>
        <w:t>y</w:t>
      </w:r>
      <w:r>
        <w:rPr>
          <w:rFonts w:asciiTheme="minorBidi" w:hAnsiTheme="minorBidi"/>
          <w:shd w:val="clear" w:color="auto" w:fill="FFFFFF"/>
        </w:rPr>
        <w:t xml:space="preserve"> as a result of photo-electrochemical reactions. </w:t>
      </w:r>
      <w:r w:rsidRPr="0006710F">
        <w:rPr>
          <w:rFonts w:asciiTheme="minorBidi" w:hAnsiTheme="minorBidi"/>
          <w:shd w:val="clear" w:color="auto" w:fill="FFFFFF"/>
        </w:rPr>
        <w:t xml:space="preserve">We identified the [011] lattice plane as a more favorable orientation compared to [001], with </w:t>
      </w:r>
      <w:r w:rsidR="00207A99">
        <w:rPr>
          <w:rFonts w:asciiTheme="minorBidi" w:hAnsiTheme="minorBidi"/>
          <w:shd w:val="clear" w:color="auto" w:fill="FFFFFF"/>
        </w:rPr>
        <w:t xml:space="preserve">a </w:t>
      </w:r>
      <w:r w:rsidRPr="0006710F">
        <w:rPr>
          <w:rFonts w:asciiTheme="minorBidi" w:hAnsiTheme="minorBidi"/>
          <w:shd w:val="clear" w:color="auto" w:fill="FFFFFF"/>
        </w:rPr>
        <w:t xml:space="preserve">significant performance enhancement upon </w:t>
      </w:r>
      <w:r w:rsidRPr="00DC4463">
        <w:rPr>
          <w:rFonts w:asciiTheme="minorBidi" w:hAnsiTheme="minorBidi"/>
        </w:rPr>
        <w:t>NiO</w:t>
      </w:r>
      <w:r w:rsidRPr="00F25370">
        <w:rPr>
          <w:rFonts w:asciiTheme="minorBidi" w:hAnsiTheme="minorBidi"/>
          <w:vertAlign w:val="subscript"/>
        </w:rPr>
        <w:t>x</w:t>
      </w:r>
      <w:r w:rsidRPr="0006710F">
        <w:rPr>
          <w:rFonts w:asciiTheme="minorBidi" w:hAnsiTheme="minorBidi"/>
          <w:shd w:val="clear" w:color="auto" w:fill="FFFFFF"/>
        </w:rPr>
        <w:t xml:space="preserve"> deposition</w:t>
      </w:r>
      <w:r>
        <w:rPr>
          <w:rFonts w:asciiTheme="minorBidi" w:hAnsiTheme="minorBidi"/>
          <w:shd w:val="clear" w:color="auto" w:fill="FFFFFF"/>
        </w:rPr>
        <w:t xml:space="preserve">. </w:t>
      </w:r>
      <w:r w:rsidR="00207A99">
        <w:rPr>
          <w:rFonts w:asciiTheme="minorBidi" w:hAnsiTheme="minorBidi"/>
          <w:shd w:val="clear" w:color="auto" w:fill="FFFFFF"/>
        </w:rPr>
        <w:t>O</w:t>
      </w:r>
      <w:r w:rsidR="00F25370" w:rsidRPr="00DC4463">
        <w:rPr>
          <w:rFonts w:asciiTheme="minorBidi" w:hAnsiTheme="minorBidi"/>
          <w:shd w:val="clear" w:color="auto" w:fill="FFFFFF"/>
        </w:rPr>
        <w:t>perando shallow angle X-ray absorption spectroscopy measurements are performed on SrTaO</w:t>
      </w:r>
      <w:r w:rsidR="00F25370" w:rsidRPr="00DC4463">
        <w:rPr>
          <w:rStyle w:val="Hervorhebung"/>
          <w:rFonts w:asciiTheme="minorBidi" w:hAnsiTheme="minorBidi"/>
          <w:shd w:val="clear" w:color="auto" w:fill="FFFFFF"/>
          <w:vertAlign w:val="subscript"/>
        </w:rPr>
        <w:t>x</w:t>
      </w:r>
      <w:r w:rsidR="00F25370" w:rsidRPr="00DC4463">
        <w:rPr>
          <w:rFonts w:asciiTheme="minorBidi" w:hAnsiTheme="minorBidi"/>
          <w:shd w:val="clear" w:color="auto" w:fill="FFFFFF"/>
        </w:rPr>
        <w:t>N</w:t>
      </w:r>
      <w:r w:rsidR="00F25370" w:rsidRPr="00DC4463">
        <w:rPr>
          <w:rStyle w:val="Hervorhebung"/>
          <w:rFonts w:asciiTheme="minorBidi" w:hAnsiTheme="minorBidi"/>
          <w:shd w:val="clear" w:color="auto" w:fill="FFFFFF"/>
          <w:vertAlign w:val="subscript"/>
        </w:rPr>
        <w:t>y</w:t>
      </w:r>
      <w:r w:rsidR="00F25370" w:rsidRPr="00DC4463">
        <w:rPr>
          <w:rFonts w:asciiTheme="minorBidi" w:hAnsiTheme="minorBidi"/>
          <w:shd w:val="clear" w:color="auto" w:fill="FFFFFF"/>
        </w:rPr>
        <w:t> with and without</w:t>
      </w:r>
      <w:r>
        <w:rPr>
          <w:rFonts w:asciiTheme="minorBidi" w:hAnsiTheme="minorBidi"/>
          <w:shd w:val="clear" w:color="auto" w:fill="FFFFFF"/>
        </w:rPr>
        <w:t xml:space="preserve"> co-catalyst during photo-electrochemical</w:t>
      </w:r>
      <w:r w:rsidR="00F25370" w:rsidRPr="00DC4463">
        <w:rPr>
          <w:rFonts w:asciiTheme="minorBidi" w:hAnsiTheme="minorBidi"/>
          <w:shd w:val="clear" w:color="auto" w:fill="FFFFFF"/>
        </w:rPr>
        <w:t xml:space="preserve"> solar water splitting</w:t>
      </w:r>
      <w:r w:rsidR="00207A99">
        <w:rPr>
          <w:rFonts w:asciiTheme="minorBidi" w:hAnsiTheme="minorBidi"/>
          <w:shd w:val="clear" w:color="auto" w:fill="FFFFFF"/>
        </w:rPr>
        <w:t xml:space="preserve"> w</w:t>
      </w:r>
      <w:r w:rsidR="00207A99" w:rsidRPr="00207A99">
        <w:rPr>
          <w:rFonts w:asciiTheme="minorBidi" w:hAnsiTheme="minorBidi"/>
          <w:shd w:val="clear" w:color="auto" w:fill="FFFFFF"/>
        </w:rPr>
        <w:t>ith a custom designed photoelectrochemical cell</w:t>
      </w:r>
      <w:r w:rsidR="00F25370" w:rsidRPr="00DC4463">
        <w:rPr>
          <w:rFonts w:asciiTheme="minorBidi" w:hAnsiTheme="minorBidi"/>
          <w:shd w:val="clear" w:color="auto" w:fill="FFFFFF"/>
        </w:rPr>
        <w:t>.</w:t>
      </w:r>
      <w:r w:rsidR="00F25370" w:rsidRPr="00F25370">
        <w:rPr>
          <w:rFonts w:asciiTheme="minorBidi" w:hAnsiTheme="minorBidi"/>
        </w:rPr>
        <w:t xml:space="preserve"> </w:t>
      </w:r>
      <w:r w:rsidR="00F25370" w:rsidRPr="00DC4463">
        <w:rPr>
          <w:rFonts w:asciiTheme="minorBidi" w:hAnsiTheme="minorBidi"/>
        </w:rPr>
        <w:t>Using the outlined approach, we aim to answer the open question regarding the driving force behind the observed detrimental surface modifications, the synergistic effects the co-catalyst has, and the role each cation plays. Addressing all these questions has large implications on the design and potential discovery of novel high</w:t>
      </w:r>
      <w:r w:rsidR="00F25370">
        <w:rPr>
          <w:rFonts w:asciiTheme="minorBidi" w:hAnsiTheme="minorBidi"/>
        </w:rPr>
        <w:t>-</w:t>
      </w:r>
      <w:r w:rsidR="00F25370" w:rsidRPr="00DC4463">
        <w:rPr>
          <w:rFonts w:asciiTheme="minorBidi" w:hAnsiTheme="minorBidi"/>
        </w:rPr>
        <w:t>performance materials.</w:t>
      </w:r>
    </w:p>
    <w:p w14:paraId="7379AF80" w14:textId="77777777" w:rsidR="00144F98" w:rsidRPr="00DC4463" w:rsidRDefault="00144F98" w:rsidP="003002BC">
      <w:pPr>
        <w:jc w:val="center"/>
        <w:rPr>
          <w:rFonts w:asciiTheme="minorBidi" w:hAnsiTheme="minorBidi"/>
          <w:b/>
        </w:rPr>
      </w:pPr>
      <w:r w:rsidRPr="00DC4463">
        <w:rPr>
          <w:rFonts w:asciiTheme="minorBidi" w:hAnsiTheme="minorBidi"/>
          <w:b/>
        </w:rPr>
        <w:t>References</w:t>
      </w:r>
    </w:p>
    <w:p w14:paraId="1E4EC740" w14:textId="77777777" w:rsidR="008436D9" w:rsidRPr="00DC4463" w:rsidRDefault="00B06FF3" w:rsidP="00E02B60">
      <w:pPr>
        <w:pStyle w:val="Listenabsatz"/>
        <w:numPr>
          <w:ilvl w:val="0"/>
          <w:numId w:val="1"/>
        </w:numPr>
        <w:jc w:val="both"/>
        <w:rPr>
          <w:rFonts w:asciiTheme="minorBidi" w:hAnsiTheme="minorBidi"/>
          <w:sz w:val="20"/>
          <w:szCs w:val="20"/>
        </w:rPr>
      </w:pPr>
      <w:r w:rsidRPr="00DC4463">
        <w:rPr>
          <w:rFonts w:asciiTheme="minorBidi" w:hAnsiTheme="minorBidi"/>
          <w:sz w:val="20"/>
          <w:szCs w:val="20"/>
        </w:rPr>
        <w:t xml:space="preserve">Akkerman, </w:t>
      </w:r>
      <w:r w:rsidR="004C7DBF" w:rsidRPr="00DC4463">
        <w:rPr>
          <w:rFonts w:asciiTheme="minorBidi" w:hAnsiTheme="minorBidi"/>
          <w:sz w:val="20"/>
          <w:szCs w:val="20"/>
        </w:rPr>
        <w:t>et al</w:t>
      </w:r>
      <w:r w:rsidRPr="00DC4463">
        <w:rPr>
          <w:rFonts w:asciiTheme="minorBidi" w:hAnsiTheme="minorBidi"/>
          <w:sz w:val="20"/>
          <w:szCs w:val="20"/>
        </w:rPr>
        <w:t xml:space="preserve">. Genesis, Challenges and Opportunities for Colloidal Lead Halide Perovskite Nanocrystals. </w:t>
      </w:r>
      <w:r w:rsidRPr="00DC4463">
        <w:rPr>
          <w:rFonts w:asciiTheme="minorBidi" w:hAnsiTheme="minorBidi"/>
          <w:i/>
          <w:sz w:val="20"/>
          <w:szCs w:val="20"/>
        </w:rPr>
        <w:t>Nature Mater.</w:t>
      </w:r>
      <w:r w:rsidRPr="00DC4463">
        <w:rPr>
          <w:rFonts w:asciiTheme="minorBidi" w:hAnsiTheme="minorBidi"/>
          <w:sz w:val="20"/>
          <w:szCs w:val="20"/>
        </w:rPr>
        <w:t xml:space="preserve"> </w:t>
      </w:r>
      <w:r w:rsidRPr="00DC4463">
        <w:rPr>
          <w:rFonts w:asciiTheme="minorBidi" w:hAnsiTheme="minorBidi"/>
          <w:b/>
          <w:sz w:val="20"/>
          <w:szCs w:val="20"/>
        </w:rPr>
        <w:t>17</w:t>
      </w:r>
      <w:r w:rsidRPr="00DC4463">
        <w:rPr>
          <w:rFonts w:asciiTheme="minorBidi" w:hAnsiTheme="minorBidi"/>
          <w:sz w:val="20"/>
          <w:szCs w:val="20"/>
        </w:rPr>
        <w:t>, 394-405, doi:10.1038/s41563-018-0018-4 (2018).</w:t>
      </w:r>
    </w:p>
    <w:p w14:paraId="4F3E9E91" w14:textId="77777777" w:rsidR="004C7DBF" w:rsidRPr="00DC4463" w:rsidRDefault="004C7DBF" w:rsidP="0090592D">
      <w:pPr>
        <w:pStyle w:val="Listenabsatz"/>
        <w:numPr>
          <w:ilvl w:val="0"/>
          <w:numId w:val="1"/>
        </w:numPr>
        <w:jc w:val="both"/>
        <w:rPr>
          <w:rFonts w:asciiTheme="minorBidi" w:hAnsiTheme="minorBidi"/>
          <w:sz w:val="20"/>
          <w:szCs w:val="20"/>
        </w:rPr>
      </w:pPr>
      <w:r w:rsidRPr="00DC4463">
        <w:rPr>
          <w:rFonts w:asciiTheme="minorBidi" w:hAnsiTheme="minorBidi"/>
          <w:sz w:val="20"/>
          <w:szCs w:val="20"/>
        </w:rPr>
        <w:t xml:space="preserve">Raino, et al. Superfluorescence from Lead Halide Perovskite Quantum Dot Superlattices. </w:t>
      </w:r>
      <w:r w:rsidRPr="00DC4463">
        <w:rPr>
          <w:rFonts w:asciiTheme="minorBidi" w:hAnsiTheme="minorBidi"/>
          <w:i/>
          <w:sz w:val="20"/>
          <w:szCs w:val="20"/>
        </w:rPr>
        <w:t>Nature</w:t>
      </w:r>
      <w:r w:rsidRPr="00DC4463">
        <w:rPr>
          <w:rFonts w:asciiTheme="minorBidi" w:hAnsiTheme="minorBidi"/>
          <w:sz w:val="20"/>
          <w:szCs w:val="20"/>
        </w:rPr>
        <w:t xml:space="preserve"> </w:t>
      </w:r>
      <w:r w:rsidRPr="00DC4463">
        <w:rPr>
          <w:rFonts w:asciiTheme="minorBidi" w:hAnsiTheme="minorBidi"/>
          <w:b/>
          <w:sz w:val="20"/>
          <w:szCs w:val="20"/>
        </w:rPr>
        <w:t>563</w:t>
      </w:r>
      <w:r w:rsidRPr="00DC4463">
        <w:rPr>
          <w:rFonts w:asciiTheme="minorBidi" w:hAnsiTheme="minorBidi"/>
          <w:sz w:val="20"/>
          <w:szCs w:val="20"/>
        </w:rPr>
        <w:t>, 671-675, doi:</w:t>
      </w:r>
      <w:r w:rsidR="0090592D" w:rsidRPr="00DC4463">
        <w:rPr>
          <w:rFonts w:asciiTheme="minorBidi" w:hAnsiTheme="minorBidi"/>
          <w:sz w:val="20"/>
          <w:szCs w:val="20"/>
        </w:rPr>
        <w:t>10.1038/s41586-018-0683-0 (2018).</w:t>
      </w:r>
    </w:p>
    <w:sectPr w:rsidR="004C7DBF" w:rsidRPr="00DC4463" w:rsidSect="006F308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A4C44"/>
    <w:multiLevelType w:val="hybridMultilevel"/>
    <w:tmpl w:val="ADB468DC"/>
    <w:lvl w:ilvl="0" w:tplc="3BB041E8">
      <w:start w:val="1"/>
      <w:numFmt w:val="decimal"/>
      <w:lvlText w:val="%1."/>
      <w:lvlJc w:val="left"/>
      <w:pPr>
        <w:ind w:left="720" w:hanging="360"/>
      </w:pPr>
      <w:rPr>
        <w:rFonts w:asciiTheme="minorHAnsi" w:hAnsiTheme="minorHAnsi"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5954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78"/>
    <w:rsid w:val="00041BDA"/>
    <w:rsid w:val="0006710F"/>
    <w:rsid w:val="00144F98"/>
    <w:rsid w:val="00207A99"/>
    <w:rsid w:val="002A37A1"/>
    <w:rsid w:val="003002BC"/>
    <w:rsid w:val="00320D69"/>
    <w:rsid w:val="003653D0"/>
    <w:rsid w:val="003B76A2"/>
    <w:rsid w:val="003D7FE1"/>
    <w:rsid w:val="004C7DBF"/>
    <w:rsid w:val="0053149F"/>
    <w:rsid w:val="005D2878"/>
    <w:rsid w:val="005F69CE"/>
    <w:rsid w:val="00607D23"/>
    <w:rsid w:val="00636C43"/>
    <w:rsid w:val="00681359"/>
    <w:rsid w:val="00692078"/>
    <w:rsid w:val="006E4258"/>
    <w:rsid w:val="006F308C"/>
    <w:rsid w:val="00771735"/>
    <w:rsid w:val="007C37DE"/>
    <w:rsid w:val="008436D9"/>
    <w:rsid w:val="0090592D"/>
    <w:rsid w:val="00940E8A"/>
    <w:rsid w:val="00996C87"/>
    <w:rsid w:val="009A7E8F"/>
    <w:rsid w:val="00AE16C2"/>
    <w:rsid w:val="00AE2F10"/>
    <w:rsid w:val="00AE3D7B"/>
    <w:rsid w:val="00B06FF3"/>
    <w:rsid w:val="00C11AD5"/>
    <w:rsid w:val="00C74776"/>
    <w:rsid w:val="00C959F8"/>
    <w:rsid w:val="00CA2BE2"/>
    <w:rsid w:val="00CC0860"/>
    <w:rsid w:val="00CC0DFE"/>
    <w:rsid w:val="00CF259C"/>
    <w:rsid w:val="00D40012"/>
    <w:rsid w:val="00DA3A2E"/>
    <w:rsid w:val="00DC4463"/>
    <w:rsid w:val="00DD2565"/>
    <w:rsid w:val="00E00A09"/>
    <w:rsid w:val="00E02B60"/>
    <w:rsid w:val="00E66938"/>
    <w:rsid w:val="00F25370"/>
    <w:rsid w:val="00F643A6"/>
    <w:rsid w:val="00FB6804"/>
    <w:rsid w:val="00FE22AF"/>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7028"/>
  <w15:chartTrackingRefBased/>
  <w15:docId w15:val="{91389AB2-88F5-4B3D-BA3A-2FEB11BE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44F98"/>
    <w:pPr>
      <w:ind w:left="720"/>
      <w:contextualSpacing/>
    </w:pPr>
  </w:style>
  <w:style w:type="character" w:styleId="Hervorhebung">
    <w:name w:val="Emphasis"/>
    <w:basedOn w:val="Absatz-Standardschriftart"/>
    <w:uiPriority w:val="20"/>
    <w:qFormat/>
    <w:rsid w:val="00DC4463"/>
    <w:rPr>
      <w:i/>
      <w:iCs/>
    </w:rPr>
  </w:style>
  <w:style w:type="character" w:customStyle="1" w:styleId="apple-converted-space">
    <w:name w:val="apple-converted-space"/>
    <w:basedOn w:val="Absatz-Standardschriftart"/>
    <w:rsid w:val="00DC4463"/>
  </w:style>
  <w:style w:type="character" w:customStyle="1" w:styleId="spelle">
    <w:name w:val="spelle"/>
    <w:basedOn w:val="Absatz-Standardschriftart"/>
    <w:rsid w:val="00DC4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Words>
  <Characters>5455</Characters>
  <Application>Microsoft Office Word</Application>
  <DocSecurity>0</DocSecurity>
  <Lines>45</Lines>
  <Paragraphs>12</Paragraphs>
  <ScaleCrop>false</ScaleCrop>
  <HeadingPairs>
    <vt:vector size="6" baseType="variant">
      <vt:variant>
        <vt:lpstr>Titel</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Стельмах</dc:creator>
  <cp:keywords/>
  <dc:description/>
  <cp:lastModifiedBy>CWS</cp:lastModifiedBy>
  <cp:revision>2</cp:revision>
  <dcterms:created xsi:type="dcterms:W3CDTF">2022-08-25T11:30:00Z</dcterms:created>
  <dcterms:modified xsi:type="dcterms:W3CDTF">2022-08-25T11:30:00Z</dcterms:modified>
</cp:coreProperties>
</file>